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3AC95DF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A267544" w14:textId="77777777" w:rsidR="0075357B" w:rsidRPr="00604BBF" w:rsidRDefault="00361D47">
      <w:pPr>
        <w:rPr>
          <w:rFonts w:asciiTheme="minorBidi" w:hAnsiTheme="minorBidi"/>
          <w:color w:val="000000" w:themeColor="text1"/>
          <w:sz w:val="24"/>
          <w:szCs w:val="24"/>
        </w:rPr>
      </w:pPr>
      <w:r w:rsidRPr="00604BBF">
        <w:rPr>
          <w:rFonts w:asciiTheme="minorBidi" w:hAnsiTheme="minorBidi"/>
          <w:noProof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718F373" w14:textId="77777777" w:rsidR="0075357B" w:rsidRPr="00604BBF" w:rsidRDefault="0075357B">
      <w:pPr>
        <w:spacing w:after="257"/>
        <w:rPr>
          <w:rFonts w:asciiTheme="minorBidi" w:hAnsiTheme="minorBidi"/>
          <w:color w:val="000000" w:themeColor="text1"/>
          <w:sz w:val="24"/>
          <w:szCs w:val="24"/>
        </w:rPr>
      </w:pPr>
    </w:p>
    <w:p w14:paraId="73406707" w14:textId="77777777" w:rsidR="0075357B" w:rsidRPr="00604BBF" w:rsidRDefault="00361D47">
      <w:pPr>
        <w:tabs>
          <w:tab w:val="left" w:pos="2287"/>
        </w:tabs>
        <w:spacing w:line="185" w:lineRule="exact"/>
        <w:ind w:left="871"/>
        <w:rPr>
          <w:rFonts w:asciiTheme="minorBidi" w:hAnsiTheme="minorBidi"/>
          <w:color w:val="010302"/>
        </w:rPr>
      </w:pPr>
      <w:r w:rsidRPr="00604BBF">
        <w:rPr>
          <w:rFonts w:asciiTheme="minorBidi" w:hAnsiTheme="minorBidi"/>
          <w:b/>
          <w:bCs/>
          <w:color w:val="000000"/>
          <w:sz w:val="20"/>
          <w:szCs w:val="20"/>
        </w:rPr>
        <w:t>Annex V</w:t>
      </w:r>
      <w:r w:rsidRPr="00604BBF">
        <w:rPr>
          <w:rFonts w:asciiTheme="minorBidi" w:hAnsiTheme="minorBidi"/>
          <w:b/>
          <w:bCs/>
          <w:color w:val="000000"/>
          <w:sz w:val="20"/>
          <w:szCs w:val="20"/>
        </w:rPr>
        <w:tab/>
      </w:r>
      <w:r w:rsidRPr="00604BBF">
        <w:rPr>
          <w:rFonts w:asciiTheme="minorBidi" w:hAnsiTheme="minorBidi"/>
          <w:b/>
          <w:bCs/>
          <w:color w:val="000000"/>
          <w:spacing w:val="-1"/>
          <w:sz w:val="20"/>
          <w:szCs w:val="20"/>
        </w:rPr>
        <w:t>Terms of Reference for Consultants and other persons hired by IFAD under a non-</w:t>
      </w:r>
      <w:r w:rsidRPr="00604BBF">
        <w:rPr>
          <w:rFonts w:asciiTheme="minorBidi" w:hAnsiTheme="minorBidi"/>
          <w:sz w:val="20"/>
          <w:szCs w:val="20"/>
        </w:rPr>
        <w:t xml:space="preserve"> </w:t>
      </w:r>
    </w:p>
    <w:p w14:paraId="08BD7919" w14:textId="77777777" w:rsidR="0075357B" w:rsidRPr="00604BBF" w:rsidRDefault="00361D47">
      <w:pPr>
        <w:spacing w:line="185" w:lineRule="exact"/>
        <w:ind w:left="2287"/>
        <w:rPr>
          <w:rFonts w:asciiTheme="minorBidi" w:hAnsiTheme="minorBidi"/>
          <w:color w:val="010302"/>
        </w:rPr>
      </w:pPr>
      <w:r w:rsidRPr="00604BBF">
        <w:rPr>
          <w:rFonts w:asciiTheme="minorBidi" w:hAnsiTheme="minorBidi"/>
          <w:b/>
          <w:bCs/>
          <w:color w:val="000000"/>
          <w:sz w:val="20"/>
          <w:szCs w:val="20"/>
        </w:rPr>
        <w:t>staff contract</w:t>
      </w:r>
      <w:r w:rsidRPr="00604BBF">
        <w:rPr>
          <w:rFonts w:asciiTheme="minorBidi" w:hAnsiTheme="minorBidi"/>
          <w:sz w:val="20"/>
          <w:szCs w:val="20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6441"/>
      </w:tblGrid>
      <w:tr w:rsidR="0075357B" w:rsidRPr="00604BBF" w14:paraId="6776E6BD" w14:textId="77777777" w:rsidTr="54BA20D9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Pr="00604BBF" w:rsidRDefault="00361D47">
            <w:pPr>
              <w:spacing w:before="34"/>
              <w:ind w:left="-1" w:right="1620"/>
              <w:jc w:val="right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8"/>
                <w:szCs w:val="18"/>
              </w:rPr>
              <w:t>INDIVIDUAL RESPONSIBILITIES, EXPECTED OUTPUTS AND REQUIRED COMPLETION DATES</w:t>
            </w:r>
            <w:r w:rsidRPr="00604BBF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  <w:tr w:rsidR="0075357B" w:rsidRPr="00604BBF" w14:paraId="1957A084" w14:textId="77777777" w:rsidTr="54BA20D9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Pr="00604BBF" w:rsidRDefault="00361D47">
            <w:pPr>
              <w:spacing w:before="146" w:after="102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2"/>
                <w:sz w:val="16"/>
                <w:szCs w:val="16"/>
              </w:rPr>
              <w:t>Full Name: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9BDF348" w:rsidR="0075357B" w:rsidRPr="00604BBF" w:rsidRDefault="508DC77D" w:rsidP="54BA20D9">
            <w:pPr>
              <w:spacing w:before="141" w:after="107"/>
              <w:ind w:left="81" w:right="-18"/>
              <w:rPr>
                <w:rFonts w:asciiTheme="minorBidi" w:eastAsia="Times New Roman" w:hAnsiTheme="minorBidi"/>
                <w:sz w:val="18"/>
                <w:szCs w:val="18"/>
              </w:rPr>
            </w:pPr>
            <w:r w:rsidRPr="00604BBF">
              <w:rPr>
                <w:rFonts w:asciiTheme="minorBidi" w:eastAsia="Tahoma" w:hAnsiTheme="minorBidi"/>
                <w:color w:val="000000" w:themeColor="text1"/>
                <w:sz w:val="18"/>
                <w:szCs w:val="18"/>
              </w:rPr>
              <w:t>Recruitment of intern</w:t>
            </w:r>
          </w:p>
        </w:tc>
      </w:tr>
      <w:tr w:rsidR="0075357B" w:rsidRPr="00604BBF" w14:paraId="0E3B10D5" w14:textId="77777777" w:rsidTr="54BA20D9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Pr="00604BBF" w:rsidRDefault="00361D47">
            <w:pPr>
              <w:spacing w:before="131" w:after="101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2"/>
                <w:sz w:val="16"/>
                <w:szCs w:val="16"/>
              </w:rPr>
              <w:t>Contract Category: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604BBF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8"/>
                <w:szCs w:val="18"/>
              </w:rPr>
              <w:t>Intern</w:t>
            </w:r>
            <w:r w:rsidRPr="00604BBF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  <w:tr w:rsidR="0075357B" w:rsidRPr="00604BBF" w14:paraId="06D9EFAD" w14:textId="77777777" w:rsidTr="54BA20D9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Pr="00604BBF" w:rsidRDefault="00361D47">
            <w:pPr>
              <w:spacing w:before="131" w:after="101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2"/>
                <w:sz w:val="16"/>
                <w:szCs w:val="16"/>
              </w:rPr>
              <w:t>Contract Type: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Pr="00604BBF" w:rsidRDefault="0075357B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</w:p>
        </w:tc>
      </w:tr>
      <w:tr w:rsidR="0075357B" w:rsidRPr="00604BBF" w14:paraId="0141CC4D" w14:textId="77777777" w:rsidTr="54BA20D9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Pr="00604BBF" w:rsidRDefault="00361D47">
            <w:pPr>
              <w:spacing w:before="131" w:after="101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2"/>
                <w:sz w:val="16"/>
                <w:szCs w:val="16"/>
              </w:rPr>
              <w:t>Contract Sub Type: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604BBF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8"/>
                <w:szCs w:val="18"/>
              </w:rPr>
              <w:t>Monthly</w:t>
            </w:r>
            <w:r w:rsidRPr="00604BBF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  <w:tr w:rsidR="0075357B" w:rsidRPr="00604BBF" w14:paraId="6E26A242" w14:textId="77777777" w:rsidTr="54BA20D9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Pr="00604BBF" w:rsidRDefault="00361D47">
            <w:pPr>
              <w:spacing w:before="131" w:after="101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Specialization: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520758C5" w:rsidR="0075357B" w:rsidRPr="00604BBF" w:rsidRDefault="00DB272C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  <w:lang w:val="fr-FR" w:eastAsia="ko-KR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  <w:lang w:val="fr-FR" w:eastAsia="ko-KR"/>
              </w:rPr>
              <w:t xml:space="preserve">Gender and </w:t>
            </w:r>
            <w:r w:rsidR="00AF5775" w:rsidRPr="00604BBF">
              <w:rPr>
                <w:rFonts w:asciiTheme="minorBidi" w:hAnsiTheme="minorBidi"/>
                <w:color w:val="010302"/>
                <w:sz w:val="18"/>
                <w:szCs w:val="18"/>
                <w:lang w:val="fr-FR" w:eastAsia="ko-KR"/>
              </w:rPr>
              <w:t xml:space="preserve">Social Inclusion </w:t>
            </w:r>
          </w:p>
        </w:tc>
      </w:tr>
      <w:tr w:rsidR="0075357B" w:rsidRPr="00604BBF" w14:paraId="1CA51397" w14:textId="77777777" w:rsidTr="54BA20D9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Pr="00604BBF" w:rsidRDefault="00361D47">
            <w:pPr>
              <w:spacing w:before="131" w:after="105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Expected Start Date of Assignment: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55944F36" w:rsidR="0075357B" w:rsidRPr="00604BBF" w:rsidRDefault="00AF5775">
            <w:pPr>
              <w:spacing w:before="126" w:after="110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</w:rPr>
              <w:t>1</w:t>
            </w:r>
            <w:r w:rsidRPr="00604BBF">
              <w:rPr>
                <w:rFonts w:asciiTheme="minorBidi" w:hAnsiTheme="minorBidi"/>
                <w:color w:val="010302"/>
                <w:sz w:val="18"/>
                <w:szCs w:val="18"/>
                <w:vertAlign w:val="superscript"/>
              </w:rPr>
              <w:t xml:space="preserve"> </w:t>
            </w:r>
            <w:r w:rsidRPr="00604BBF">
              <w:rPr>
                <w:rFonts w:asciiTheme="minorBidi" w:hAnsiTheme="minorBidi"/>
                <w:color w:val="010302"/>
                <w:sz w:val="18"/>
                <w:szCs w:val="18"/>
              </w:rPr>
              <w:t xml:space="preserve">March 2026 </w:t>
            </w:r>
          </w:p>
        </w:tc>
      </w:tr>
      <w:tr w:rsidR="0075357B" w:rsidRPr="00604BBF" w14:paraId="7AAF50E7" w14:textId="77777777" w:rsidTr="54BA20D9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Pr="00604BBF" w:rsidRDefault="00361D47">
            <w:pPr>
              <w:spacing w:before="119" w:after="115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Expected End Date of Assignment: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5A938EA1" w:rsidR="0075357B" w:rsidRPr="00604BBF" w:rsidRDefault="00AF5775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</w:rPr>
              <w:t xml:space="preserve">31 August 2026 </w:t>
            </w:r>
          </w:p>
        </w:tc>
      </w:tr>
      <w:tr w:rsidR="0075357B" w:rsidRPr="00604BBF" w14:paraId="3DC29351" w14:textId="77777777" w:rsidTr="54BA20D9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Pr="00604BBF" w:rsidRDefault="00361D47">
            <w:pPr>
              <w:spacing w:before="119" w:after="115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Total number of months of service: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218CB8BC" w:rsidR="0075357B" w:rsidRPr="00604BBF" w:rsidRDefault="00AF5775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</w:rPr>
              <w:t xml:space="preserve">6 months </w:t>
            </w:r>
          </w:p>
        </w:tc>
      </w:tr>
      <w:tr w:rsidR="0075357B" w:rsidRPr="00604BBF" w14:paraId="161E13FC" w14:textId="77777777" w:rsidTr="54BA20D9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Pr="00604BBF" w:rsidRDefault="00361D47">
            <w:pPr>
              <w:spacing w:before="119" w:after="115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Total number of days of service: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1B06EA2E" w:rsidR="0075357B" w:rsidRPr="00604BBF" w:rsidRDefault="0075357B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</w:p>
        </w:tc>
      </w:tr>
      <w:tr w:rsidR="0075357B" w:rsidRPr="00604BBF" w14:paraId="7DBE41E7" w14:textId="77777777" w:rsidTr="00DB272C">
        <w:trPr>
          <w:trHeight w:hRule="exact" w:val="7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Pr="00604BBF" w:rsidRDefault="00361D47">
            <w:pPr>
              <w:spacing w:before="119" w:after="115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Division/Department: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58DF4B1C" w:rsidR="0075357B" w:rsidRPr="00604BBF" w:rsidRDefault="34406E98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</w:rPr>
              <w:t xml:space="preserve">Environment, Climate and Gender Division (ECG) under Office of Technical Delivery (ODT) in Asia-Pacific  </w:t>
            </w:r>
          </w:p>
        </w:tc>
      </w:tr>
      <w:tr w:rsidR="0075357B" w:rsidRPr="00604BBF" w14:paraId="65D773B7" w14:textId="77777777" w:rsidTr="54BA20D9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Pr="00604BBF" w:rsidRDefault="00361D47">
            <w:pPr>
              <w:spacing w:before="119" w:after="136"/>
              <w:ind w:left="91" w:right="-18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Reports to:</w:t>
            </w:r>
            <w:r w:rsidRPr="00604BBF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108538E3" w:rsidR="0075357B" w:rsidRPr="00604BBF" w:rsidRDefault="00DB272C">
            <w:pPr>
              <w:spacing w:before="126" w:after="129"/>
              <w:ind w:left="81" w:right="-18"/>
              <w:rPr>
                <w:rFonts w:asciiTheme="minorBidi" w:hAnsiTheme="minorBidi"/>
                <w:color w:val="010302"/>
                <w:sz w:val="18"/>
                <w:szCs w:val="18"/>
                <w:lang w:val="en-GB"/>
              </w:rPr>
            </w:pPr>
            <w:r w:rsidRPr="00604BBF">
              <w:rPr>
                <w:rFonts w:asciiTheme="minorBidi" w:hAnsiTheme="minorBidi"/>
                <w:color w:val="010302"/>
                <w:sz w:val="18"/>
                <w:szCs w:val="18"/>
                <w:lang w:val="en-GB"/>
              </w:rPr>
              <w:t xml:space="preserve">ECG Regional Technical Lead through the Regional Gender Specialist </w:t>
            </w:r>
          </w:p>
        </w:tc>
      </w:tr>
      <w:tr w:rsidR="0075357B" w:rsidRPr="00604BBF" w14:paraId="4BC6540E" w14:textId="77777777" w:rsidTr="54BA20D9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Pr="00604BBF" w:rsidRDefault="00361D47">
            <w:pPr>
              <w:spacing w:before="34"/>
              <w:ind w:left="-1" w:right="3137"/>
              <w:jc w:val="right"/>
              <w:rPr>
                <w:rFonts w:asciiTheme="minorBidi" w:hAnsiTheme="minorBidi"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8"/>
                <w:szCs w:val="18"/>
              </w:rPr>
              <w:t>GENERAL DESCRIPTION OF TASK(S) AND OBJECTIVE(S) TO BE ACHIEVED</w:t>
            </w:r>
            <w:r w:rsidRPr="00604BBF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  <w:tr w:rsidR="001E18EB" w:rsidRPr="00604BBF" w14:paraId="55167EAE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0B711242" w:rsidR="001E18EB" w:rsidRPr="00604BBF" w:rsidRDefault="001E18EB">
            <w:pPr>
              <w:spacing w:before="125" w:after="101"/>
              <w:ind w:left="149" w:right="-18"/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Organizational Context: </w:t>
            </w:r>
          </w:p>
          <w:p w14:paraId="4430A544" w14:textId="7D22B5E7" w:rsidR="001E18EB" w:rsidRPr="00604BBF" w:rsidRDefault="352AA071" w:rsidP="54BA20D9">
            <w:pPr>
              <w:spacing w:before="240" w:after="240"/>
              <w:rPr>
                <w:rFonts w:asciiTheme="minorBidi" w:hAnsiTheme="minorBidi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The International Fund for Agricultural Development (IFAD) is a specialized agency of the United Nations and an international financial institution dedicated to eradicating rural poverty, enhancing food security, and promoting inclusive and climate-resilient development. IFAD works with governments, rural communities, and development partners to invest in small-scale agriculture, strengthen rural economies, and empower vulnerable groups, including women, youth, Indigenous Peoples, and marginalized communities.</w:t>
            </w:r>
          </w:p>
          <w:p w14:paraId="17A40B3F" w14:textId="6D9BDFFF" w:rsidR="001E18EB" w:rsidRPr="00604BBF" w:rsidRDefault="352AA071" w:rsidP="00575F26">
            <w:p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Within IFAD, the Environment, Climate, Gender and Social Inclusion (ECG) Division provides technical leadership on integrating</w:t>
            </w:r>
            <w:r w:rsidR="00575F26" w:rsidRPr="00604BBF">
              <w:rPr>
                <w:rFonts w:asciiTheme="minorBidi" w:eastAsia="Tahoma" w:hAnsiTheme="minorBidi"/>
                <w:spacing w:val="1"/>
                <w:sz w:val="16"/>
                <w:szCs w:val="16"/>
              </w:rPr>
              <w:t xml:space="preserve"> </w:t>
            </w:r>
            <w:r w:rsidR="00575F26" w:rsidRPr="00604BBF">
              <w:rPr>
                <w:rFonts w:asciiTheme="minorBidi" w:eastAsia="Tahoma" w:hAnsiTheme="minorBidi"/>
                <w:spacing w:val="1"/>
                <w:sz w:val="16"/>
                <w:szCs w:val="16"/>
              </w:rPr>
              <w:t>environment and climate, nutrition, gender, youth, and indigenous peoples and all related aspects of social inclusion into IFAD's portfolio</w:t>
            </w:r>
            <w:r w:rsidR="00575F26" w:rsidRPr="00604BBF">
              <w:rPr>
                <w:rFonts w:asciiTheme="minorBidi" w:eastAsia="Tahoma" w:hAnsiTheme="minorBidi"/>
                <w:spacing w:val="1"/>
                <w:sz w:val="16"/>
                <w:szCs w:val="16"/>
              </w:rPr>
              <w:t xml:space="preserve">. </w:t>
            </w:r>
            <w:r w:rsidR="00575F26" w:rsidRPr="00604BBF">
              <w:rPr>
                <w:rFonts w:asciiTheme="minorBidi" w:eastAsia="Arial" w:hAnsiTheme="minorBidi"/>
                <w:sz w:val="16"/>
                <w:szCs w:val="16"/>
              </w:rPr>
              <w:t>Th</w:t>
            </w:r>
            <w:r w:rsidRPr="00604BBF">
              <w:rPr>
                <w:rFonts w:asciiTheme="minorBidi" w:eastAsia="Arial" w:hAnsiTheme="minorBidi"/>
                <w:sz w:val="16"/>
                <w:szCs w:val="16"/>
              </w:rPr>
              <w:t xml:space="preserve">e Asia-Pacific Region (APR) is one of IFAD’s most diverse and climate-vulnerable regions, facing significant challenges related to climate change, environmental degradation, biodiversity loss, </w:t>
            </w:r>
            <w:r w:rsidR="00AA794D" w:rsidRPr="00604BBF">
              <w:rPr>
                <w:rFonts w:asciiTheme="minorBidi" w:eastAsia="Arial" w:hAnsiTheme="minorBidi"/>
                <w:sz w:val="16"/>
                <w:szCs w:val="16"/>
              </w:rPr>
              <w:t xml:space="preserve">widening inequalities </w:t>
            </w:r>
            <w:r w:rsidRPr="00604BBF">
              <w:rPr>
                <w:rFonts w:asciiTheme="minorBidi" w:eastAsia="Arial" w:hAnsiTheme="minorBidi"/>
                <w:sz w:val="16"/>
                <w:szCs w:val="16"/>
              </w:rPr>
              <w:t>and rural poverty.</w:t>
            </w:r>
          </w:p>
          <w:p w14:paraId="0BD6292C" w14:textId="449FA9E2" w:rsidR="001E18EB" w:rsidRPr="00604BBF" w:rsidRDefault="001E18EB">
            <w:pPr>
              <w:spacing w:before="125" w:after="101"/>
              <w:ind w:left="149"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270B9012" w14:textId="1305AB40" w:rsidR="001E18EB" w:rsidRPr="00604BBF" w:rsidRDefault="000657E3">
            <w:pPr>
              <w:spacing w:before="125" w:after="101"/>
              <w:ind w:left="149" w:right="-18"/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Learning objectives &amp; competency development:</w:t>
            </w:r>
          </w:p>
          <w:p w14:paraId="5A54D86A" w14:textId="02E2459F" w:rsidR="001E18EB" w:rsidRPr="00604BBF" w:rsidRDefault="001E18EB" w:rsidP="54BA20D9">
            <w:p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  <w:r w:rsidR="22C532F1" w:rsidRPr="00604BBF">
              <w:rPr>
                <w:rFonts w:asciiTheme="minorBidi" w:eastAsia="Arial" w:hAnsiTheme="minorBidi"/>
                <w:sz w:val="16"/>
                <w:szCs w:val="16"/>
              </w:rPr>
              <w:t>Through the internship, the intern will:</w:t>
            </w:r>
          </w:p>
          <w:p w14:paraId="05A2FFD9" w14:textId="66B12113" w:rsidR="001E18EB" w:rsidRPr="00604BBF" w:rsidRDefault="22C532F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 xml:space="preserve">Strengthen technical skills in </w:t>
            </w:r>
            <w:r w:rsidR="009332B5" w:rsidRPr="00604BBF">
              <w:rPr>
                <w:rFonts w:asciiTheme="minorBidi" w:eastAsia="Arial" w:hAnsiTheme="minorBidi"/>
                <w:sz w:val="16"/>
                <w:szCs w:val="16"/>
              </w:rPr>
              <w:t xml:space="preserve">gender equality and women’s empowerment, youth engagement, disability inclusion, </w:t>
            </w:r>
            <w:r w:rsidRPr="00604BBF">
              <w:rPr>
                <w:rFonts w:asciiTheme="minorBidi" w:eastAsia="Arial" w:hAnsiTheme="minorBidi"/>
                <w:sz w:val="16"/>
                <w:szCs w:val="16"/>
              </w:rPr>
              <w:t>climate change adaptation, environmental management, biodiversity conservation, and climate finance within the context of rural development.</w:t>
            </w:r>
          </w:p>
          <w:p w14:paraId="1553104D" w14:textId="17459721" w:rsidR="001E18EB" w:rsidRPr="00604BBF" w:rsidRDefault="22C532F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Gain hands-on experience in IFAD project design, implementation support, and quality assurance processes.</w:t>
            </w:r>
          </w:p>
          <w:p w14:paraId="7785B8CE" w14:textId="6470CC60" w:rsidR="001E18EB" w:rsidRPr="00604BBF" w:rsidRDefault="22C532F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Develop competencies in data analysis (vulnerability assessments, M&amp;E data), technical writing, knowledge management, and portfolio reporting.</w:t>
            </w:r>
          </w:p>
          <w:p w14:paraId="75760776" w14:textId="74C174BE" w:rsidR="001E18EB" w:rsidRPr="00604BBF" w:rsidRDefault="22C532F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Enhance communication, stakeholder coordination, and event management skills in a multicultural UN environment.</w:t>
            </w:r>
          </w:p>
          <w:p w14:paraId="02041FAB" w14:textId="6B06EFBC" w:rsidR="001E18EB" w:rsidRPr="00604BBF" w:rsidRDefault="22C532F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eastAsia="Arial" w:hAnsiTheme="minorBidi"/>
                <w:sz w:val="16"/>
                <w:szCs w:val="16"/>
              </w:rPr>
            </w:pPr>
            <w:r w:rsidRPr="00604BBF">
              <w:rPr>
                <w:rFonts w:asciiTheme="minorBidi" w:eastAsia="Arial" w:hAnsiTheme="minorBidi"/>
                <w:sz w:val="16"/>
                <w:szCs w:val="16"/>
              </w:rPr>
              <w:t>Learn to apply IFAD corporate procedures, tools, and policies (</w:t>
            </w:r>
            <w:r w:rsidR="009332B5" w:rsidRPr="00604BBF">
              <w:rPr>
                <w:rFonts w:asciiTheme="minorBidi" w:eastAsia="Arial" w:hAnsiTheme="minorBidi"/>
                <w:sz w:val="16"/>
                <w:szCs w:val="16"/>
              </w:rPr>
              <w:t xml:space="preserve">IFAD targeting policy, gender equality and women’s empowerment, </w:t>
            </w:r>
            <w:r w:rsidRPr="00604BBF">
              <w:rPr>
                <w:rFonts w:asciiTheme="minorBidi" w:eastAsia="Arial" w:hAnsiTheme="minorBidi"/>
                <w:sz w:val="16"/>
                <w:szCs w:val="16"/>
              </w:rPr>
              <w:t>environmental and social safeguards, SECAP, climate risk screening).</w:t>
            </w:r>
          </w:p>
          <w:p w14:paraId="5D6963E1" w14:textId="768FC57D" w:rsidR="001E18EB" w:rsidRPr="00604BBF" w:rsidRDefault="000657E3">
            <w:pPr>
              <w:spacing w:before="125" w:after="101"/>
              <w:ind w:left="149"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</w:p>
          <w:p w14:paraId="3D2BD1A5" w14:textId="361FEAD9" w:rsidR="005F31C4" w:rsidRPr="00604BBF" w:rsidRDefault="005F31C4">
            <w:pPr>
              <w:spacing w:before="125" w:after="101"/>
              <w:ind w:left="149"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</w:p>
        </w:tc>
      </w:tr>
      <w:tr w:rsidR="0075357B" w:rsidRPr="00604BBF" w14:paraId="411A932E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604BBF" w:rsidRDefault="00361D47">
            <w:pPr>
              <w:spacing w:before="125" w:after="101"/>
              <w:ind w:left="149" w:right="-18"/>
              <w:rPr>
                <w:rFonts w:asciiTheme="minorBidi" w:hAnsiTheme="minorBidi"/>
                <w:b/>
                <w:bCs/>
                <w:color w:val="010302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>Expected Activities:</w:t>
            </w:r>
            <w:r w:rsidRPr="00604BBF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5357B" w:rsidRPr="00604BBF" w14:paraId="589C32FD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283D5316" w:rsidR="001E18EB" w:rsidRPr="00604BBF" w:rsidRDefault="001E18EB" w:rsidP="001E18EB">
            <w:pPr>
              <w:spacing w:before="35" w:line="148" w:lineRule="exact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>Core Functional Tasks</w:t>
            </w:r>
            <w:r w:rsidR="005313E3"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17F512EF" w14:textId="77777777" w:rsidR="00EE3342" w:rsidRPr="00604BBF" w:rsidRDefault="7B8C655D" w:rsidP="00EE3342">
            <w:pPr>
              <w:spacing w:before="35" w:line="148" w:lineRule="exact"/>
              <w:rPr>
                <w:rFonts w:asciiTheme="minorBidi" w:hAnsiTheme="minorBidi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Project design &amp; implementation support:</w:t>
            </w:r>
          </w:p>
          <w:p w14:paraId="3A5D820D" w14:textId="77777777" w:rsidR="00EE3342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 Draft technical inputs for project design documents, conduct background research, compile analytical evidence, and support the preparation of </w:t>
            </w:r>
            <w:r w:rsidR="00DE77A1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gender and social inclusion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 for new IFAD projects.</w:t>
            </w:r>
          </w:p>
          <w:p w14:paraId="0D569CCD" w14:textId="70BE7F92" w:rsidR="0075357B" w:rsidRPr="00604BBF" w:rsidRDefault="00EE3342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As</w:t>
            </w:r>
            <w:r w:rsidR="7B8C655D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sist with monitoring project progress, preparation of briefs, and portfolio reporting.</w:t>
            </w:r>
          </w:p>
          <w:p w14:paraId="6FE5660B" w14:textId="77777777" w:rsidR="00EE3342" w:rsidRPr="00604BBF" w:rsidRDefault="7B8C655D" w:rsidP="00EE3342">
            <w:p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Data analysis &amp; technical research:</w:t>
            </w:r>
          </w:p>
          <w:p w14:paraId="5EFC0F87" w14:textId="77777777" w:rsidR="00EE3342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lastRenderedPageBreak/>
              <w:t xml:space="preserve">Analyse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key </w:t>
            </w:r>
            <w:r w:rsidR="00DE77A1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socio economic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data, M&amp;E datasets, survey results, and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gender and social inclusion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 indicators to support project decision-making.</w:t>
            </w:r>
          </w:p>
          <w:p w14:paraId="1A22CBD4" w14:textId="66A04341" w:rsidR="0075357B" w:rsidRPr="00604BBF" w:rsidRDefault="00EE3342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P</w:t>
            </w:r>
            <w:r w:rsidR="7B8C655D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>repare summaries, dashboards, and recommendations for project teams and country offices.</w:t>
            </w:r>
          </w:p>
          <w:p w14:paraId="78528F58" w14:textId="77777777" w:rsidR="00EE3342" w:rsidRPr="00604BBF" w:rsidRDefault="00EE3342" w:rsidP="00EE3342">
            <w:p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</w:p>
          <w:p w14:paraId="36958E61" w14:textId="77777777" w:rsidR="00EE3342" w:rsidRPr="00604BBF" w:rsidRDefault="7B8C655D" w:rsidP="00EE3342">
            <w:p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Knowledge management:</w:t>
            </w:r>
          </w:p>
          <w:p w14:paraId="525E525C" w14:textId="77777777" w:rsidR="00EE3342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 xml:space="preserve">Support the documentation of good practices, lessons learned, </w:t>
            </w:r>
            <w:r w:rsidR="00DE77A1"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gender and social inclusion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 xml:space="preserve">-related innovations, and country-level </w:t>
            </w:r>
            <w:r w:rsidR="00DE77A1"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gender and social inclusion related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 xml:space="preserve"> achievements.</w:t>
            </w:r>
          </w:p>
          <w:p w14:paraId="7620B23C" w14:textId="677F9320" w:rsidR="0075357B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Contribute to the maintenance and updating of the ECG-APR knowledge repository.</w:t>
            </w:r>
          </w:p>
          <w:p w14:paraId="3390CB09" w14:textId="77777777" w:rsidR="00EE3342" w:rsidRPr="00604BBF" w:rsidRDefault="00EE3342" w:rsidP="00EE3342">
            <w:pPr>
              <w:pStyle w:val="ListParagraph"/>
              <w:spacing w:before="35" w:line="148" w:lineRule="exact"/>
              <w:ind w:left="760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</w:p>
          <w:p w14:paraId="1949E212" w14:textId="77777777" w:rsidR="00EE3342" w:rsidRPr="00604BBF" w:rsidRDefault="7B8C655D" w:rsidP="00EE3342">
            <w:p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Event and communication support:</w:t>
            </w:r>
          </w:p>
          <w:p w14:paraId="65FFA2CE" w14:textId="77777777" w:rsidR="00EE3342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Assist in planning and organizing regional events/workshops (annotated agendas, PPTs, concept notes, feedback tools).</w:t>
            </w:r>
          </w:p>
          <w:p w14:paraId="1644F30F" w14:textId="276C1438" w:rsidR="0075357B" w:rsidRPr="00604BBF" w:rsidRDefault="7B8C655D" w:rsidP="00EE3342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Prepare communication materials, briefs, and visual summaries aligned with IFAD corporate guidance.</w:t>
            </w:r>
          </w:p>
          <w:p w14:paraId="4D508FFF" w14:textId="16CEABA0" w:rsidR="0075357B" w:rsidRPr="00604BBF" w:rsidRDefault="7B8C655D" w:rsidP="54BA20D9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>Corporate and coordination tasks:</w:t>
            </w:r>
            <w:r w:rsidR="001E18EB" w:rsidRPr="00604BBF">
              <w:rPr>
                <w:rFonts w:asciiTheme="minorBidi" w:hAnsiTheme="minorBidi"/>
              </w:rPr>
              <w:br/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</w:rPr>
              <w:t xml:space="preserve"> Support daily coordination between APR and HQ teams, including responding to corporate requests, collecting information from Country Offices, and consolidating portfolio data.</w:t>
            </w:r>
          </w:p>
          <w:p w14:paraId="66DD27A8" w14:textId="77777777" w:rsidR="005313E3" w:rsidRPr="00604BBF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Theme="minorBidi" w:hAnsiTheme="minorBidi"/>
                <w:color w:val="000000"/>
                <w:sz w:val="16"/>
                <w:szCs w:val="16"/>
                <w:lang w:val="en-GB"/>
              </w:rPr>
            </w:pPr>
          </w:p>
          <w:p w14:paraId="258D752E" w14:textId="73076C82" w:rsidR="005313E3" w:rsidRPr="00604BBF" w:rsidRDefault="005313E3" w:rsidP="005313E3">
            <w:pPr>
              <w:spacing w:before="35" w:line="148" w:lineRule="exact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2.  </w:t>
            </w:r>
            <w:r w:rsidR="00A12E04"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>Cross-functional Tasks</w:t>
            </w:r>
            <w:r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119A58AB" w14:textId="578BF1E4" w:rsidR="000657E3" w:rsidRPr="00604BBF" w:rsidRDefault="42B12BF9" w:rsidP="00954099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The intern will design and deliver a synthesis product on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>gender and social inclusion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 integration in APR operations, which may include:</w:t>
            </w:r>
          </w:p>
          <w:p w14:paraId="54DB0F14" w14:textId="15CFECBC" w:rsidR="000657E3" w:rsidRPr="00604BBF" w:rsidRDefault="42B12BF9" w:rsidP="54BA20D9">
            <w:pPr>
              <w:pStyle w:val="ListParagraph"/>
              <w:numPr>
                <w:ilvl w:val="1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A regional dashboard on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innovative gender and social inclusion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 interventions;</w:t>
            </w:r>
          </w:p>
          <w:p w14:paraId="765CC27E" w14:textId="382E9230" w:rsidR="000657E3" w:rsidRPr="00604BBF" w:rsidRDefault="42B12BF9" w:rsidP="54BA20D9">
            <w:pPr>
              <w:pStyle w:val="ListParagraph"/>
              <w:numPr>
                <w:ilvl w:val="1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A landscape analysis of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GTA</w:t>
            </w:r>
            <w:r w:rsidR="00604BBF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 (gender transformative approach) implementation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 opportunities for APR projects;</w:t>
            </w:r>
          </w:p>
          <w:p w14:paraId="332DF03E" w14:textId="4F48E559" w:rsidR="000657E3" w:rsidRPr="00604BBF" w:rsidRDefault="42B12BF9" w:rsidP="54BA20D9">
            <w:pPr>
              <w:pStyle w:val="ListParagraph"/>
              <w:numPr>
                <w:ilvl w:val="1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A knowledge product summarizing climate-nature-gender linkages across the APR portfolio;</w:t>
            </w:r>
          </w:p>
          <w:p w14:paraId="357EE243" w14:textId="09DA0BEF" w:rsidR="000657E3" w:rsidRPr="00604BBF" w:rsidRDefault="42B12BF9" w:rsidP="54BA20D9">
            <w:pPr>
              <w:pStyle w:val="ListParagraph"/>
              <w:numPr>
                <w:ilvl w:val="1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Final presentation to ECG-APR and Regional Management Team.</w:t>
            </w:r>
          </w:p>
          <w:p w14:paraId="335B57D7" w14:textId="5647B1E9" w:rsidR="000657E3" w:rsidRPr="00604BBF" w:rsidRDefault="42B12BF9" w:rsidP="54BA20D9">
            <w:pPr>
              <w:pStyle w:val="ListParagraph"/>
              <w:numPr>
                <w:ilvl w:val="0"/>
                <w:numId w:val="20"/>
              </w:numPr>
              <w:spacing w:before="35" w:line="148" w:lineRule="exact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This cross-functional output will involve collaboration with PMD, ECD, ECF, Country Offices, and </w:t>
            </w:r>
            <w:r w:rsidR="00EE3342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youth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/social inclusion specialists.</w:t>
            </w:r>
          </w:p>
          <w:p w14:paraId="230AE51F" w14:textId="63E923F1" w:rsidR="000657E3" w:rsidRPr="00604BBF" w:rsidRDefault="000657E3" w:rsidP="54BA20D9">
            <w:pPr>
              <w:spacing w:before="35" w:line="148" w:lineRule="exact"/>
              <w:rPr>
                <w:rFonts w:asciiTheme="minorBidi" w:hAnsiTheme="minorBidi"/>
                <w:color w:val="000000"/>
                <w:sz w:val="16"/>
                <w:szCs w:val="16"/>
                <w:lang w:val="en-GB" w:eastAsia="ko-KR"/>
              </w:rPr>
            </w:pPr>
          </w:p>
          <w:p w14:paraId="4164F1C7" w14:textId="4CD0E66A" w:rsidR="005313E3" w:rsidRPr="00604BBF" w:rsidRDefault="005313E3" w:rsidP="005313E3">
            <w:pPr>
              <w:spacing w:before="35" w:line="148" w:lineRule="exact"/>
              <w:rPr>
                <w:rFonts w:asciiTheme="minorBidi" w:hAnsiTheme="minorBidi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:rsidRPr="00604BBF" w14:paraId="72B65E26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604BBF" w:rsidRDefault="000657E3" w:rsidP="000657E3">
            <w:pPr>
              <w:spacing w:before="125" w:after="101"/>
              <w:ind w:left="149" w:right="-18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>Skills and qualifications</w:t>
            </w:r>
          </w:p>
        </w:tc>
      </w:tr>
      <w:tr w:rsidR="000657E3" w:rsidRPr="00604BBF" w14:paraId="12BD4C87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Pr="00604BBF" w:rsidRDefault="000657E3" w:rsidP="000657E3">
            <w:pPr>
              <w:pStyle w:val="ListParagraph"/>
              <w:numPr>
                <w:ilvl w:val="0"/>
                <w:numId w:val="22"/>
              </w:numPr>
              <w:spacing w:before="125" w:after="101"/>
              <w:ind w:right="-18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01A52912" w14:textId="05FD1275" w:rsidR="000657E3" w:rsidRPr="00604BBF" w:rsidRDefault="58B11979" w:rsidP="000657E3">
            <w:pPr>
              <w:pStyle w:val="ListParagraph"/>
              <w:numPr>
                <w:ilvl w:val="1"/>
                <w:numId w:val="22"/>
              </w:numPr>
              <w:spacing w:before="125" w:after="101"/>
              <w:ind w:right="-18"/>
              <w:rPr>
                <w:rFonts w:asciiTheme="minorBidi" w:hAnsiTheme="minorBidi"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Strong analytical and research skills, including the ability to interpret </w:t>
            </w:r>
            <w:r w:rsidR="00604BBF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>gender, youth,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 and M&amp;E datasets.</w:t>
            </w:r>
          </w:p>
          <w:p w14:paraId="1D7F3FF7" w14:textId="57D2D317" w:rsidR="000657E3" w:rsidRDefault="58B11979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Strong writing skills and ability to prepare concise, high-quality technical summaries and briefs.</w:t>
            </w:r>
          </w:p>
          <w:p w14:paraId="5885A82C" w14:textId="658D8A93" w:rsidR="007242C1" w:rsidRPr="00604BBF" w:rsidRDefault="007242C1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Attention to detail while drafting documents. </w:t>
            </w:r>
          </w:p>
          <w:p w14:paraId="0D68CB1A" w14:textId="5845468E" w:rsidR="000657E3" w:rsidRPr="00604BBF" w:rsidRDefault="58B11979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Proficiency in MS Office (Word, Excel, PowerPoint, Outlook).</w:t>
            </w:r>
          </w:p>
          <w:p w14:paraId="2D10D154" w14:textId="3E352C30" w:rsidR="000657E3" w:rsidRPr="00604BBF" w:rsidRDefault="58B11979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Strong organizational abilities and attention to detail; capacity to manage multiple tasks under tight deadlines.</w:t>
            </w:r>
          </w:p>
          <w:p w14:paraId="7187A4D9" w14:textId="6AE1DD3D" w:rsidR="000657E3" w:rsidRPr="00604BBF" w:rsidRDefault="58B11979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Excellent interpersonal skills and ability to work in a multicultural environment.</w:t>
            </w:r>
          </w:p>
          <w:p w14:paraId="354E613A" w14:textId="137D775E" w:rsidR="000657E3" w:rsidRPr="00604BBF" w:rsidRDefault="58B11979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Ability to take initiative, work independently, and use digital tools (survey platforms, visualization tools, AI-assisted applications).</w:t>
            </w:r>
          </w:p>
          <w:p w14:paraId="6DDD875C" w14:textId="22791398" w:rsidR="000657E3" w:rsidRPr="00604BBF" w:rsidRDefault="000657E3" w:rsidP="000657E3">
            <w:pPr>
              <w:pStyle w:val="ListParagraph"/>
              <w:numPr>
                <w:ilvl w:val="0"/>
                <w:numId w:val="22"/>
              </w:numPr>
              <w:spacing w:before="125" w:after="101"/>
              <w:ind w:right="-18"/>
              <w:rPr>
                <w:rFonts w:asciiTheme="minorBidi" w:hAnsiTheme="minorBidi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 w:themeColor="text1"/>
                <w:sz w:val="16"/>
                <w:szCs w:val="16"/>
                <w:lang w:val="en-GB" w:eastAsia="ko-KR"/>
              </w:rPr>
              <w:t>Desirable academic background</w:t>
            </w:r>
          </w:p>
          <w:p w14:paraId="03B35B2C" w14:textId="54E8D3AB" w:rsidR="000657E3" w:rsidRPr="00604BBF" w:rsidRDefault="061AEBBC" w:rsidP="54BA20D9">
            <w:pPr>
              <w:pStyle w:val="ListParagraph"/>
              <w:numPr>
                <w:ilvl w:val="1"/>
                <w:numId w:val="22"/>
              </w:numPr>
              <w:spacing w:before="125" w:after="101"/>
              <w:ind w:right="-18"/>
              <w:rPr>
                <w:rFonts w:asciiTheme="minorBidi" w:hAnsiTheme="minorBidi"/>
                <w:lang w:val="en-GB"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Advanced university degree in </w:t>
            </w:r>
            <w:r w:rsidR="00604BBF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gender and rural development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or another relevant field. </w:t>
            </w:r>
          </w:p>
        </w:tc>
      </w:tr>
      <w:tr w:rsidR="000657E3" w:rsidRPr="00604BBF" w14:paraId="367B9789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Pr="00604BBF" w:rsidRDefault="005F31C4" w:rsidP="005F31C4">
            <w:pPr>
              <w:spacing w:before="34"/>
              <w:ind w:right="3137"/>
              <w:rPr>
                <w:rFonts w:asciiTheme="minorBidi" w:hAnsiTheme="minorBidi"/>
                <w:color w:val="010302"/>
                <w:lang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 xml:space="preserve">   </w:t>
            </w: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8"/>
                <w:szCs w:val="18"/>
              </w:rPr>
              <w:t>Internship</w:t>
            </w:r>
            <w:r w:rsidRPr="00604BBF">
              <w:rPr>
                <w:rFonts w:asciiTheme="minorBidi" w:hAnsiTheme="minorBidi"/>
                <w:b/>
                <w:bCs/>
                <w:color w:val="000000"/>
                <w:sz w:val="18"/>
                <w:szCs w:val="18"/>
                <w:lang w:eastAsia="ko-KR"/>
              </w:rPr>
              <w:t xml:space="preserve"> Assessment</w:t>
            </w:r>
          </w:p>
        </w:tc>
      </w:tr>
      <w:tr w:rsidR="005F31C4" w:rsidRPr="00604BBF" w14:paraId="5492CD0B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Pr="00604BBF" w:rsidRDefault="005F31C4" w:rsidP="005F31C4">
            <w:pPr>
              <w:spacing w:before="135" w:after="112"/>
              <w:ind w:left="91" w:right="-18"/>
              <w:rPr>
                <w:rFonts w:asciiTheme="minorBidi" w:hAnsiTheme="minorBidi"/>
                <w:color w:val="010302"/>
                <w:lang w:eastAsia="ko-KR"/>
              </w:rPr>
            </w:pP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 xml:space="preserve">Expected </w:t>
            </w: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outcomes</w:t>
            </w: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</w:rPr>
              <w:t xml:space="preserve"> </w:t>
            </w:r>
            <w:r w:rsidRPr="00604BBF">
              <w:rPr>
                <w:rFonts w:asciiTheme="minorBidi" w:hAnsiTheme="minorBidi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and supervision plan</w:t>
            </w:r>
          </w:p>
        </w:tc>
      </w:tr>
      <w:tr w:rsidR="005F31C4" w:rsidRPr="00604BBF" w14:paraId="6DF60A4A" w14:textId="77777777" w:rsidTr="54BA20D9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0E4347" w14:textId="69763F6D" w:rsidR="005F31C4" w:rsidRPr="00604BBF" w:rsidRDefault="005F31C4" w:rsidP="005F31C4">
            <w:pPr>
              <w:pStyle w:val="ListParagraph"/>
              <w:numPr>
                <w:ilvl w:val="0"/>
                <w:numId w:val="25"/>
              </w:numPr>
              <w:spacing w:before="117" w:after="115" w:line="148" w:lineRule="exact"/>
              <w:ind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1.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/>
              </w:rPr>
              <w:t xml:space="preserve">Please describe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how the above activities will contribute to the Intern’s </w:t>
            </w:r>
            <w:r w:rsidR="00954099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>learning and professional development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. </w:t>
            </w:r>
          </w:p>
          <w:p w14:paraId="0E0A7E83" w14:textId="051FE998" w:rsidR="51F05FD1" w:rsidRPr="00604BBF" w:rsidRDefault="51F05FD1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The internship will enable the intern to develop practical experience in </w:t>
            </w:r>
            <w:r w:rsid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 xml:space="preserve">gender and social inclusion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val="en-GB" w:eastAsia="ko-KR"/>
              </w:rPr>
              <w:t>mainstreaming within international development programmes.</w:t>
            </w:r>
          </w:p>
          <w:p w14:paraId="1C8CF993" w14:textId="24B42083" w:rsidR="51F05FD1" w:rsidRPr="00604BBF" w:rsidRDefault="51F05FD1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The intern will gain exposure to IFAD’s project cycle, results-based management,</w:t>
            </w:r>
            <w:r w:rsid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 gender and social inclusion mainstreaming approach, social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 risk screening, and environmental and social safeguards.</w:t>
            </w:r>
          </w:p>
          <w:p w14:paraId="323BDD65" w14:textId="4D1B503B" w:rsidR="51F05FD1" w:rsidRPr="00604BBF" w:rsidRDefault="51F05FD1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The intern will strengthen technical writing, data analysis, event coordination, and communication skills through regular tasks and deliverables.</w:t>
            </w:r>
          </w:p>
          <w:p w14:paraId="58EB0C2D" w14:textId="48296AA3" w:rsidR="51F05FD1" w:rsidRPr="00604BBF" w:rsidRDefault="51F05FD1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The cross-functional project will offer an opportunity to lead a structured analytical assignment from concept to completion.</w:t>
            </w:r>
          </w:p>
          <w:p w14:paraId="2D4A0F05" w14:textId="44A753D0" w:rsidR="005F31C4" w:rsidRPr="00604BBF" w:rsidRDefault="005F31C4" w:rsidP="005F31C4">
            <w:pPr>
              <w:pStyle w:val="ListParagraph"/>
              <w:numPr>
                <w:ilvl w:val="0"/>
                <w:numId w:val="25"/>
              </w:numPr>
              <w:spacing w:before="117" w:after="115" w:line="148" w:lineRule="exact"/>
              <w:ind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 xml:space="preserve">2. </w:t>
            </w: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</w:rPr>
              <w:t xml:space="preserve">Please describe how the supervisor will evaluate the </w:t>
            </w:r>
            <w:r w:rsidR="00954099"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>Intern’s performance in relation to the activities outlined above.</w:t>
            </w:r>
          </w:p>
          <w:p w14:paraId="18DFE4D2" w14:textId="78B180C9" w:rsidR="0776BBF6" w:rsidRPr="00604BBF" w:rsidRDefault="0776BBF6" w:rsidP="54BA20D9">
            <w:pPr>
              <w:pStyle w:val="ListParagraph"/>
              <w:spacing w:before="240" w:after="240" w:line="259" w:lineRule="auto"/>
              <w:ind w:left="720" w:hanging="36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The supervisor will evaluate the intern’s performance based on:</w:t>
            </w:r>
          </w:p>
          <w:p w14:paraId="2A2B7314" w14:textId="3E2AAEBE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Completion and quality of assigned tasks;</w:t>
            </w:r>
          </w:p>
          <w:p w14:paraId="66426741" w14:textId="79FC14FC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Accuracy and clarity of technical and analytical outputs;</w:t>
            </w:r>
          </w:p>
          <w:p w14:paraId="6B02C95A" w14:textId="1941EF19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Timeliness and reliability under deadlines;</w:t>
            </w:r>
          </w:p>
          <w:p w14:paraId="1889A8CD" w14:textId="600B9801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Ability to work collaboratively and communicate effectively with team members;</w:t>
            </w:r>
          </w:p>
          <w:p w14:paraId="075CC947" w14:textId="6B27B062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Initiative, problem-solving, and responsiveness to feedback;</w:t>
            </w:r>
          </w:p>
          <w:p w14:paraId="0CAE2A45" w14:textId="74E80294" w:rsidR="0776BBF6" w:rsidRPr="00604BBF" w:rsidRDefault="0776BBF6" w:rsidP="54BA20D9">
            <w:pPr>
              <w:pStyle w:val="ListParagraph"/>
              <w:numPr>
                <w:ilvl w:val="0"/>
                <w:numId w:val="25"/>
              </w:numPr>
              <w:spacing w:before="240" w:after="240" w:line="259" w:lineRule="auto"/>
              <w:ind w:left="72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Progress on the cross-functional project.</w:t>
            </w:r>
          </w:p>
          <w:p w14:paraId="79F0D484" w14:textId="54581198" w:rsidR="0776BBF6" w:rsidRPr="00604BBF" w:rsidRDefault="0776BBF6" w:rsidP="54BA20D9">
            <w:pPr>
              <w:pStyle w:val="ListParagraph"/>
              <w:spacing w:before="240" w:after="240" w:line="259" w:lineRule="auto"/>
              <w:ind w:left="720" w:hanging="36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Performance assessments will take place through structured checkpoints and review meetings.</w:t>
            </w:r>
          </w:p>
          <w:p w14:paraId="4BEABECA" w14:textId="0BD5B65B" w:rsidR="005F31C4" w:rsidRPr="00604BBF" w:rsidRDefault="005F31C4" w:rsidP="005F31C4">
            <w:pPr>
              <w:pStyle w:val="ListParagraph"/>
              <w:numPr>
                <w:ilvl w:val="0"/>
                <w:numId w:val="25"/>
              </w:numPr>
              <w:spacing w:before="117" w:after="115" w:line="148" w:lineRule="exact"/>
              <w:ind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lastRenderedPageBreak/>
              <w:t>3. Please also outline the supervision plan</w:t>
            </w:r>
            <w:r w:rsidR="00954099" w:rsidRPr="00604BBF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eastAsia="ko-KR"/>
              </w:rPr>
              <w:t>, including the frequency and mode of interaction between the supervisor and the intern (e.g., regular check-ins, feedback sessions, progress reviews).</w:t>
            </w:r>
          </w:p>
          <w:p w14:paraId="5EF2E465" w14:textId="0EB05B5E" w:rsidR="005F31C4" w:rsidRPr="00604BBF" w:rsidRDefault="007242C1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Bi-w</w:t>
            </w:r>
            <w:r w:rsidR="4C8B9157"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eekly check-in meetings to monitor progress, identify challenges, and define priorities.</w:t>
            </w:r>
          </w:p>
          <w:p w14:paraId="4EE506BB" w14:textId="0FD03EEA" w:rsidR="005F31C4" w:rsidRPr="00604BBF" w:rsidRDefault="4C8B9157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Monthly review sessions to assess performance and adjust workplan as needed.</w:t>
            </w:r>
          </w:p>
          <w:p w14:paraId="09BE5585" w14:textId="2CC8F595" w:rsidR="005F31C4" w:rsidRPr="00604BBF" w:rsidRDefault="4C8B9157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Continuous communication through Teams, email, and shared project platforms.</w:t>
            </w:r>
          </w:p>
          <w:p w14:paraId="49555C9D" w14:textId="2A28AD4C" w:rsidR="005F31C4" w:rsidRPr="00604BBF" w:rsidRDefault="4C8B9157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The intern will receive guidance from the </w:t>
            </w:r>
            <w:r w:rsidR="007242C1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regional gender specialist, a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nd collaborate regularly </w:t>
            </w:r>
            <w:r w:rsidR="007242C1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 xml:space="preserve">APR ECG team </w:t>
            </w: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and Country Office staff.</w:t>
            </w:r>
          </w:p>
          <w:p w14:paraId="214A28BA" w14:textId="246CECF4" w:rsidR="005F31C4" w:rsidRPr="00604BBF" w:rsidRDefault="4C8B9157" w:rsidP="54BA20D9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</w:pPr>
            <w:r w:rsidRPr="00604BBF">
              <w:rPr>
                <w:rFonts w:asciiTheme="minorBidi" w:hAnsiTheme="minorBidi"/>
                <w:color w:val="000000" w:themeColor="text1"/>
                <w:sz w:val="16"/>
                <w:szCs w:val="16"/>
                <w:lang w:eastAsia="ko-KR"/>
              </w:rPr>
              <w:t>Participation in relevant team meetings, country mission briefings, and knowledge-sharing events.</w:t>
            </w:r>
          </w:p>
          <w:p w14:paraId="52FDCEDE" w14:textId="5D1623A1" w:rsidR="005F31C4" w:rsidRPr="00604BBF" w:rsidRDefault="005F31C4" w:rsidP="005F31C4">
            <w:pPr>
              <w:spacing w:before="117" w:after="115"/>
              <w:ind w:left="91" w:right="-18"/>
              <w:rPr>
                <w:rFonts w:asciiTheme="minorBidi" w:hAnsiTheme="minorBidi"/>
                <w:color w:val="010302"/>
              </w:rPr>
            </w:pPr>
          </w:p>
        </w:tc>
      </w:tr>
    </w:tbl>
    <w:p w14:paraId="12F5AB74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75BF2A4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1C5B4EB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8BA6E04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031B76B5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FA5BCC5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2447A232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6B260D5C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2DDB8147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8FB4833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3B0DAA57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164C8EF8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12157EE3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DB1862E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7E7589FE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7E3BDC11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9766FAF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2FA781FD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832929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72E6FDD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2B86564A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BA92907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0397CAB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7148616F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00CEDDCF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1B1FF2B1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33AE3563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3D42E813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ACDFF93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5BD28451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362AF011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28489172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03009105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7C80EAF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60E82D4F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61F2975" w14:textId="0E49102F" w:rsidR="0075357B" w:rsidRPr="00604BBF" w:rsidRDefault="00070C01">
      <w:pPr>
        <w:rPr>
          <w:rFonts w:asciiTheme="minorBidi" w:hAnsiTheme="minorBidi"/>
          <w:color w:val="000000" w:themeColor="text1"/>
          <w:sz w:val="24"/>
          <w:szCs w:val="24"/>
        </w:rPr>
      </w:pPr>
      <w:r w:rsidRPr="00604BBF">
        <w:rPr>
          <w:rFonts w:asciiTheme="minorBidi" w:hAnsiTheme="minorBidi"/>
          <w:color w:val="000000" w:themeColor="text1"/>
          <w:sz w:val="24"/>
          <w:szCs w:val="24"/>
        </w:rPr>
        <w:tab/>
      </w:r>
      <w:r w:rsidRPr="00604BBF">
        <w:rPr>
          <w:rFonts w:asciiTheme="minorBidi" w:hAnsiTheme="minorBidi"/>
          <w:color w:val="000000" w:themeColor="text1"/>
          <w:sz w:val="24"/>
          <w:szCs w:val="24"/>
        </w:rPr>
        <w:tab/>
      </w:r>
      <w:r w:rsidRPr="00604BBF">
        <w:rPr>
          <w:rFonts w:asciiTheme="minorBidi" w:hAnsiTheme="minorBidi"/>
          <w:color w:val="000000" w:themeColor="text1"/>
          <w:sz w:val="24"/>
          <w:szCs w:val="24"/>
        </w:rPr>
        <w:tab/>
      </w:r>
    </w:p>
    <w:p w14:paraId="34864DB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1F6021A6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5F7B1AD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4A68018E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131077E9" w14:textId="77777777" w:rsidR="0075357B" w:rsidRPr="00604BBF" w:rsidRDefault="0075357B">
      <w:pPr>
        <w:rPr>
          <w:rFonts w:asciiTheme="minorBidi" w:hAnsiTheme="minorBidi"/>
          <w:color w:val="000000" w:themeColor="text1"/>
          <w:sz w:val="24"/>
          <w:szCs w:val="24"/>
        </w:rPr>
      </w:pPr>
    </w:p>
    <w:p w14:paraId="79D4D885" w14:textId="77777777" w:rsidR="0075357B" w:rsidRPr="00604BBF" w:rsidRDefault="0075357B">
      <w:pPr>
        <w:spacing w:after="183"/>
        <w:rPr>
          <w:rFonts w:asciiTheme="minorBidi" w:hAnsiTheme="minorBidi"/>
          <w:color w:val="000000" w:themeColor="text1"/>
          <w:sz w:val="24"/>
          <w:szCs w:val="24"/>
        </w:rPr>
        <w:sectPr w:rsidR="0075357B" w:rsidRPr="00604BBF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Pr="00604BBF" w:rsidRDefault="0075357B">
      <w:pPr>
        <w:rPr>
          <w:rFonts w:asciiTheme="minorBidi" w:hAnsiTheme="minorBidi"/>
        </w:rPr>
      </w:pPr>
    </w:p>
    <w:sectPr w:rsidR="0075357B" w:rsidRPr="00604BBF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9A79E"/>
    <w:multiLevelType w:val="hybridMultilevel"/>
    <w:tmpl w:val="0D56E37C"/>
    <w:lvl w:ilvl="0" w:tplc="95381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EEE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F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20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A4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467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27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2F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01C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7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113864"/>
    <w:multiLevelType w:val="hybridMultilevel"/>
    <w:tmpl w:val="61CEB68A"/>
    <w:lvl w:ilvl="0" w:tplc="FFFFFFFF">
      <w:start w:val="1"/>
      <w:numFmt w:val="bullet"/>
      <w:lvlText w:val=""/>
      <w:lvlJc w:val="left"/>
      <w:pPr>
        <w:ind w:left="17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2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6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2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04394119">
    <w:abstractNumId w:val="3"/>
  </w:num>
  <w:num w:numId="2" w16cid:durableId="1628199600">
    <w:abstractNumId w:val="5"/>
  </w:num>
  <w:num w:numId="3" w16cid:durableId="1314287331">
    <w:abstractNumId w:val="12"/>
  </w:num>
  <w:num w:numId="4" w16cid:durableId="961882483">
    <w:abstractNumId w:val="10"/>
  </w:num>
  <w:num w:numId="5" w16cid:durableId="795218630">
    <w:abstractNumId w:val="7"/>
  </w:num>
  <w:num w:numId="6" w16cid:durableId="1126967954">
    <w:abstractNumId w:val="4"/>
  </w:num>
  <w:num w:numId="7" w16cid:durableId="848636756">
    <w:abstractNumId w:val="20"/>
  </w:num>
  <w:num w:numId="8" w16cid:durableId="412899852">
    <w:abstractNumId w:val="13"/>
  </w:num>
  <w:num w:numId="9" w16cid:durableId="581262276">
    <w:abstractNumId w:val="8"/>
  </w:num>
  <w:num w:numId="10" w16cid:durableId="1384326700">
    <w:abstractNumId w:val="16"/>
  </w:num>
  <w:num w:numId="11" w16cid:durableId="1508714727">
    <w:abstractNumId w:val="9"/>
  </w:num>
  <w:num w:numId="12" w16cid:durableId="1427925283">
    <w:abstractNumId w:val="22"/>
  </w:num>
  <w:num w:numId="13" w16cid:durableId="500587923">
    <w:abstractNumId w:val="23"/>
  </w:num>
  <w:num w:numId="14" w16cid:durableId="1195970466">
    <w:abstractNumId w:val="19"/>
  </w:num>
  <w:num w:numId="15" w16cid:durableId="1900242454">
    <w:abstractNumId w:val="2"/>
  </w:num>
  <w:num w:numId="16" w16cid:durableId="1408109943">
    <w:abstractNumId w:val="17"/>
  </w:num>
  <w:num w:numId="17" w16cid:durableId="658116479">
    <w:abstractNumId w:val="14"/>
  </w:num>
  <w:num w:numId="18" w16cid:durableId="1873377814">
    <w:abstractNumId w:val="6"/>
  </w:num>
  <w:num w:numId="19" w16cid:durableId="172768154">
    <w:abstractNumId w:val="18"/>
  </w:num>
  <w:num w:numId="20" w16cid:durableId="59984353">
    <w:abstractNumId w:val="24"/>
  </w:num>
  <w:num w:numId="21" w16cid:durableId="1022440935">
    <w:abstractNumId w:val="15"/>
  </w:num>
  <w:num w:numId="22" w16cid:durableId="1547714865">
    <w:abstractNumId w:val="21"/>
  </w:num>
  <w:num w:numId="23" w16cid:durableId="713579931">
    <w:abstractNumId w:val="1"/>
  </w:num>
  <w:num w:numId="24" w16cid:durableId="823206126">
    <w:abstractNumId w:val="0"/>
  </w:num>
  <w:num w:numId="25" w16cid:durableId="4349784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123ED3"/>
    <w:rsid w:val="001E18EB"/>
    <w:rsid w:val="002157B7"/>
    <w:rsid w:val="00222981"/>
    <w:rsid w:val="002C555F"/>
    <w:rsid w:val="0032280E"/>
    <w:rsid w:val="00323CBD"/>
    <w:rsid w:val="00346055"/>
    <w:rsid w:val="00361D47"/>
    <w:rsid w:val="003D1C16"/>
    <w:rsid w:val="004514AD"/>
    <w:rsid w:val="005313E3"/>
    <w:rsid w:val="00575F26"/>
    <w:rsid w:val="005C47AA"/>
    <w:rsid w:val="005F31C4"/>
    <w:rsid w:val="00604BBF"/>
    <w:rsid w:val="00714BBF"/>
    <w:rsid w:val="007242C1"/>
    <w:rsid w:val="0075357B"/>
    <w:rsid w:val="007607AF"/>
    <w:rsid w:val="00876882"/>
    <w:rsid w:val="009114E6"/>
    <w:rsid w:val="009332B5"/>
    <w:rsid w:val="00954099"/>
    <w:rsid w:val="009542E7"/>
    <w:rsid w:val="009A49CE"/>
    <w:rsid w:val="009B7306"/>
    <w:rsid w:val="009E66B3"/>
    <w:rsid w:val="00A077D2"/>
    <w:rsid w:val="00A12E04"/>
    <w:rsid w:val="00AA794D"/>
    <w:rsid w:val="00AF5775"/>
    <w:rsid w:val="00B11870"/>
    <w:rsid w:val="00B66183"/>
    <w:rsid w:val="00B8358A"/>
    <w:rsid w:val="00CB6F31"/>
    <w:rsid w:val="00CF350C"/>
    <w:rsid w:val="00D422CF"/>
    <w:rsid w:val="00D622B7"/>
    <w:rsid w:val="00D9506F"/>
    <w:rsid w:val="00DB272C"/>
    <w:rsid w:val="00DB3322"/>
    <w:rsid w:val="00DB5D43"/>
    <w:rsid w:val="00DE77A1"/>
    <w:rsid w:val="00EE3342"/>
    <w:rsid w:val="00F106B3"/>
    <w:rsid w:val="00F50AC2"/>
    <w:rsid w:val="00F552EE"/>
    <w:rsid w:val="00FC5EE4"/>
    <w:rsid w:val="061AEBBC"/>
    <w:rsid w:val="0776BBF6"/>
    <w:rsid w:val="0AA44D0B"/>
    <w:rsid w:val="0DDED035"/>
    <w:rsid w:val="1ABD25EC"/>
    <w:rsid w:val="1C18B3CF"/>
    <w:rsid w:val="1F0E2456"/>
    <w:rsid w:val="1F152806"/>
    <w:rsid w:val="215D65C7"/>
    <w:rsid w:val="22C532F1"/>
    <w:rsid w:val="25401FFC"/>
    <w:rsid w:val="25D48641"/>
    <w:rsid w:val="34406E98"/>
    <w:rsid w:val="352AA071"/>
    <w:rsid w:val="3EF37645"/>
    <w:rsid w:val="3F7F3F94"/>
    <w:rsid w:val="42B12BF9"/>
    <w:rsid w:val="4C8B9157"/>
    <w:rsid w:val="508DC77D"/>
    <w:rsid w:val="50BEAA4E"/>
    <w:rsid w:val="51B85212"/>
    <w:rsid w:val="51F05FD1"/>
    <w:rsid w:val="54BA20D9"/>
    <w:rsid w:val="57D2B898"/>
    <w:rsid w:val="58B11979"/>
    <w:rsid w:val="594CCB6A"/>
    <w:rsid w:val="63FF822E"/>
    <w:rsid w:val="6B174D23"/>
    <w:rsid w:val="6D0A89C5"/>
    <w:rsid w:val="77E83401"/>
    <w:rsid w:val="7B8C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Props1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IFAD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Choden, Tshering</cp:lastModifiedBy>
  <cp:revision>4</cp:revision>
  <dcterms:created xsi:type="dcterms:W3CDTF">2025-12-03T04:48:00Z</dcterms:created>
  <dcterms:modified xsi:type="dcterms:W3CDTF">2025-12-03T05:17:00Z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